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Degrees Don’t Expire. Expertise Does</w:t>
      </w:r>
      <w:r w:rsidDel="00000000" w:rsidR="00000000" w:rsidRPr="00000000">
        <w:rPr>
          <w:rFonts w:ascii="Arial" w:cs="Arial" w:eastAsia="Arial" w:hAnsi="Arial"/>
          <w:b w:val="1"/>
          <w:bCs w:val="1"/>
          <w:rtl w:val="0"/>
        </w:rPr>
        <w:t xml:space="preserve">.</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By Rajiv Gowda, CEO of East Point Group of Institutions, Bengaluru</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India is producing engineers for a world that may look very different by the time they graduate.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That is the uncomfortable reality confronting higher education today. A student entering an engineering programme this year will step into a workplace shaped by technologies that are still evolving: artificial intelligence, automation, cybersecurity, cloud computing and other fields whose applications are changing faster than traditional academic cycles.</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Yet much of our conversation about engineering education remains trapped in familiar metrics. We debate placements, rankings, campus infrastructure and the number of companies visiting for recruitment. All are relevant. But one question receives far less attention than it deserves: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How current are the people teaching our future engineers?</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degree does not expire. Expertise can.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is not an argument against experience. Experience remains one of the greatest strengths an educator can bring into a classroom. But experience without renewal can gradually become a limitation. Knowledge that was current a decade ago may still provide valuable foundations, while no longer being sufficient to explain how an industry operates today.</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speed of technological change has altered the responsibility of educational institutions. They cannot assume that a qualified faculty member will remain professionally current simply because they once mastered a subject. Continuous learning must become part of the job, not an optional addition to it.</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That requires a shift in how we think about faculty development.</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too long, professional upskilling in higher education has often been treated as an event: attend a workshop, complete a programme, receive a certificate and return to business as usual. That model belongs to a slower era.</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Engineering and technology education now need a culture in which educators regularly refresh their knowledge, engage with practitioners, work with emerging tools and understand how theory is being applied beyond the classroom.</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does not mean universities should chase every technological fad. Nor should foundational learning be sacrificed at the altar of whatever happens to be trending. Mathematics does not become less important because artificial intelligence has become popular. Scientific reasoning does not lose relevance because software changes every few months. The fundamentals of engineering remain the foundation on which future knowledge is built.</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But fundamentals without context can also leave students poorly prepared.</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real task is to connect enduring principles with contemporary applications. Students must understand not only how something works in theory, but why it matters, where it is being used and what new problems it is creating.</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That connection depends heavily on the educator.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modern laboratory, expensive equipment or advanced software cannot compensate for an outdated learning experience. Infrastructure matters, but technology is not education. Its value depends on the people who use it, interpret it and challenge students to think beyond what is written in a textbook.</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There is also a difference between knowing about a technology and working with it.</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Reading about cybersecurity is not the same as understanding how threats evolve in the real world. Studying cloud infrastructure is different from engaging with its practical applications. Discussing artificial intelligence in a lecture is not the same as experimenting with its capabilities and limitations.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increasingly need teachers who can bring this distinction into the classroom.</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They may never know how often their faculty members attend training programmes or engage with industry. They will, however, notice the outcome. It appears in the examples used during lectures, the projects they are encouraged to undertake, the problems they are asked to solve and the questions they are taught to ask.</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curious teacher can create curious students. An educator who continues to learn sends a more powerful message about professional life than any lecture on lifelong learning.</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is particularly important because we often start the employability conversation too late.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By the final year, institutions and students begin discussing aptitude tests, interviews, certifications and placement preparation. But employability cannot be manufactured in the final semester. It is built gradually through exposure, experimentation, problem-solving and the ability to adapt.</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Those qualities are shaped over years. And the people guiding that journey matter enormously.</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India wants graduates who can thrive in an economy defined by change, higher education must examine whether it is demanding enough of itself. Students are routinely told that learning cannot end with graduation. The same principle must apply to educators and institutions.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Continuous learning requires more than individual enthusiasm. Institutions must make room for it. They must invest in meaningful professional development, encourage industry engagement and recognise that keeping faculty current is as important as upgrading physical infrastructure.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is not merely an academic concern. India’s demographic advantage will deliver results only if its young population is prepared for the opportunities and disruptions of a changing economy. Industry cannot expect colleges to produce future-ready talent while remaining distant from the process of education. Institutions, educators and industry must share responsibility for keeping learning connected to reality.</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Perhaps the next time we evaluate the quality of an engineering institution, we should ask a different set of questions.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 only: What is the placement record? How large is the campus? How modern are the laboratories?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But also: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When was the last time the teachers learned something new? And how does the institution ensure they keep doing so?</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answers may tell us more about the future of education than many conventional rankings do.</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Technology will continue to change. Some skills will become obsolete. New ones will emerge. No curriculum can predict every development awaiting today’s students.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But education can give them something more durable than a list of current skills: the ability and willingness to keep learning.</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that to happen, the people entrusted with teaching the next generation must lead by example.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Degrees do not expire. Expertise does—unless we make the effort to renew it.</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The author is Rajiv Gowda, an education leader and CEO of East Point Group of Institutions. The views expressed are personal.</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About East Point Group of Institutions</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Established in 1997 under the visionary leadership of Dr. S.M. Venkatpathi and under the auspices of the M.G. Charitable Trust, the East Point Group of Institutions (EPGI), Bengaluru, has emerged as a beacon of excellence in higher education. Today, it is one of Karnataka's leading multidisciplinary academic ecosystems comprising 12 premier institutions, with over 10,000 students pursuing programmes in Medicine, Engineering, Management, Commerce, Computer Applications, Pharmacy, Nursing, Physiotherapy, Allied Health Sciences, and other disciplines. Spread across a sprawling 100+ acre lush green campus, EPGI is supported by a state-of-the-art 1,200-bed Multi-Specialty Hospital within the Campus, providing an integrated environment for quality education, research, innovation, and healthcare.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Play" w:cs="Play" w:eastAsia="Play" w:hAnsi="Play"/>
      <w:b w:val="0"/>
      <w:bCs w:val="0"/>
      <w:i w:val="0"/>
      <w:iCs w:val="0"/>
      <w:smallCaps w:val="0"/>
      <w:strike w:val="0"/>
      <w:color w:val="0f4761"/>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left"/>
    </w:pPr>
    <w:rPr>
      <w:rFonts w:ascii="Play" w:cs="Play" w:eastAsia="Play" w:hAnsi="Play"/>
      <w:b w:val="0"/>
      <w:bCs w:val="0"/>
      <w:i w:val="0"/>
      <w:iCs w:val="0"/>
      <w:smallCaps w:val="0"/>
      <w:strike w:val="0"/>
      <w:color w:val="0f4761"/>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left"/>
    </w:pPr>
    <w:rPr>
      <w:rFonts w:ascii="Aptos" w:cs="Aptos" w:eastAsia="Aptos" w:hAnsi="Aptos"/>
      <w:b w:val="0"/>
      <w:bCs w:val="0"/>
      <w:i w:val="0"/>
      <w:iCs w:val="0"/>
      <w:smallCaps w:val="0"/>
      <w:strike w:val="0"/>
      <w:color w:val="0f4761"/>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left"/>
    </w:pPr>
    <w:rPr>
      <w:rFonts w:ascii="Aptos" w:cs="Aptos" w:eastAsia="Aptos" w:hAnsi="Aptos"/>
      <w:b w:val="0"/>
      <w:bCs w:val="0"/>
      <w:i w:val="1"/>
      <w:iCs w:val="1"/>
      <w:smallCaps w:val="0"/>
      <w:strike w:val="0"/>
      <w:color w:val="0f4761"/>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40" w:lineRule="auto"/>
      <w:ind w:left="0" w:right="0" w:firstLine="0"/>
      <w:jc w:val="left"/>
    </w:pPr>
    <w:rPr>
      <w:rFonts w:ascii="Aptos" w:cs="Aptos" w:eastAsia="Aptos" w:hAnsi="Aptos"/>
      <w:b w:val="0"/>
      <w:bCs w:val="0"/>
      <w:i w:val="0"/>
      <w:iCs w:val="0"/>
      <w:smallCaps w:val="0"/>
      <w:strike w:val="0"/>
      <w:color w:val="0f4761"/>
      <w:sz w:val="24"/>
      <w:szCs w:val="24"/>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pPr>
    <w:rPr>
      <w:rFonts w:ascii="Aptos" w:cs="Aptos" w:eastAsia="Aptos" w:hAnsi="Aptos"/>
      <w:b w:val="0"/>
      <w:bCs w:val="0"/>
      <w:i w:val="1"/>
      <w:iCs w:val="1"/>
      <w:smallCaps w:val="0"/>
      <w:strike w:val="0"/>
      <w:color w:val="595959"/>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pPr>
    <w:rPr>
      <w:rFonts w:ascii="Play" w:cs="Play" w:eastAsia="Play" w:hAnsi="Play"/>
      <w:b w:val="0"/>
      <w:bCs w:val="0"/>
      <w:i w:val="0"/>
      <w:iCs w:val="0"/>
      <w:smallCaps w:val="0"/>
      <w:strike w:val="0"/>
      <w:color w:val="000000"/>
      <w:sz w:val="56"/>
      <w:szCs w:val="56"/>
      <w:u w:val="none"/>
      <w:shd w:fill="auto" w:val="clear"/>
      <w:vertAlign w:val="baseline"/>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rsid w:val="001238BE"/>
    <w:tblPr>
      <w:tblCellMar>
        <w:top w:w="100.0" w:type="dxa"/>
        <w:left w:w="100.0" w:type="dxa"/>
        <w:bottom w:w="100.0" w:type="dxa"/>
        <w:right w:w="100.0" w:type="dxa"/>
      </w:tblCellMar>
    </w:tblPr>
  </w:style>
  <w:style w:type="paragraph" w:styleId="normal0" w:customStyle="1">
    <w:name w:val="normal"/>
    <w:rsid w:val="001238BE"/>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center"/>
    </w:pPr>
    <w:rPr>
      <w:rFonts w:ascii="Play" w:cs="Play" w:eastAsia="Play" w:hAnsi="Play"/>
      <w:b w:val="0"/>
      <w:bCs w:val="0"/>
      <w:i w:val="0"/>
      <w:iCs w:val="0"/>
      <w:smallCaps w:val="0"/>
      <w:strike w:val="0"/>
      <w:color w:val="000000"/>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YR1qyOs7R7DVMq1PyUtbQfqa5g==">CgMxLjA4AHIhMW9LeFRWZG45d0JQUGt2NVZ4RWlaUm15S1VBenQ0X1dW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2026-09-18T09:05:00Z</dcterms:created>
  <dc:creator>dell</dc:creator>
</cp:coreProperties>
</file>